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798"/>
        <w:gridCol w:w="543"/>
        <w:gridCol w:w="1998"/>
        <w:gridCol w:w="924"/>
        <w:gridCol w:w="201"/>
        <w:gridCol w:w="2198"/>
        <w:gridCol w:w="1551"/>
        <w:gridCol w:w="201"/>
      </w:tblGrid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FF2D9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FF2D9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:rsidTr="00FF2D9C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Default="00AF69F7">
            <w:pPr>
              <w:rPr>
                <w:sz w:val="22"/>
                <w:szCs w:val="20"/>
              </w:rPr>
            </w:pPr>
          </w:p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57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:rsidTr="00CA3F6D">
        <w:trPr>
          <w:gridAfter w:val="8"/>
          <w:wAfter w:w="4895" w:type="pct"/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8"/>
      <w:footerReference w:type="default" r:id="rId9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C1" w:rsidRDefault="00064FC1">
      <w:r>
        <w:separator/>
      </w:r>
    </w:p>
  </w:endnote>
  <w:endnote w:type="continuationSeparator" w:id="0">
    <w:p w:rsidR="00064FC1" w:rsidRDefault="00064FC1">
      <w:r>
        <w:continuationSeparator/>
      </w:r>
    </w:p>
  </w:endnote>
  <w:endnote w:type="continuationNotice" w:id="1">
    <w:p w:rsidR="00064FC1" w:rsidRDefault="00064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384B6D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384B6D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C1" w:rsidRDefault="00064FC1">
      <w:r>
        <w:separator/>
      </w:r>
    </w:p>
  </w:footnote>
  <w:footnote w:type="continuationSeparator" w:id="0">
    <w:p w:rsidR="00064FC1" w:rsidRDefault="00064FC1">
      <w:r>
        <w:continuationSeparator/>
      </w:r>
    </w:p>
  </w:footnote>
  <w:footnote w:type="continuationNotice" w:id="1">
    <w:p w:rsidR="00064FC1" w:rsidRDefault="00064F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52A1A37" wp14:editId="0B3C6808">
          <wp:simplePos x="0" y="0"/>
          <wp:positionH relativeFrom="page">
            <wp:posOffset>5408740</wp:posOffset>
          </wp:positionH>
          <wp:positionV relativeFrom="paragraph">
            <wp:posOffset>-161290</wp:posOffset>
          </wp:positionV>
          <wp:extent cx="1615044" cy="6744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44" cy="674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4FC1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4B6D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477F-D663-454D-9821-C5C86B5B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Isabel López Henríquez</cp:lastModifiedBy>
  <cp:revision>2</cp:revision>
  <cp:lastPrinted>2017-08-14T17:38:00Z</cp:lastPrinted>
  <dcterms:created xsi:type="dcterms:W3CDTF">2021-01-26T20:43:00Z</dcterms:created>
  <dcterms:modified xsi:type="dcterms:W3CDTF">2021-01-26T20:43:00Z</dcterms:modified>
</cp:coreProperties>
</file>