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96" w:rsidRDefault="001C6496" w:rsidP="001C6496">
      <w:pPr>
        <w:pStyle w:val="Ttulo1"/>
        <w:spacing w:before="120" w:beforeAutospacing="0" w:after="120" w:afterAutospacing="0"/>
        <w:ind w:left="927"/>
        <w:jc w:val="both"/>
        <w:rPr>
          <w:rFonts w:ascii="Arial" w:hAnsi="Arial" w:cs="Arial"/>
          <w:color w:val="000000"/>
          <w:kern w:val="0"/>
          <w:sz w:val="22"/>
          <w:szCs w:val="22"/>
        </w:rPr>
      </w:pPr>
      <w:bookmarkStart w:id="0" w:name="_Ref346286464"/>
      <w:bookmarkStart w:id="1" w:name="_Toc418844096"/>
      <w:bookmarkStart w:id="2" w:name="_Toc421270312"/>
      <w:bookmarkStart w:id="3" w:name="_Toc69463658"/>
    </w:p>
    <w:p w:rsidR="001C6496" w:rsidRPr="00177FE8" w:rsidRDefault="001C6496" w:rsidP="001C6496">
      <w:pPr>
        <w:spacing w:before="120" w:after="120"/>
        <w:jc w:val="both"/>
        <w:rPr>
          <w:rFonts w:ascii="Arial" w:hAnsi="Arial" w:cs="Arial"/>
        </w:rPr>
      </w:pPr>
    </w:p>
    <w:p w:rsidR="001C6496" w:rsidRPr="00177FE8" w:rsidRDefault="001C6496" w:rsidP="001C6496">
      <w:pPr>
        <w:spacing w:before="120" w:after="120"/>
        <w:jc w:val="both"/>
        <w:rPr>
          <w:rFonts w:ascii="Arial" w:hAnsi="Arial" w:cs="Arial"/>
        </w:rPr>
      </w:pPr>
    </w:p>
    <w:p w:rsidR="001C6496" w:rsidRPr="00177FE8" w:rsidRDefault="001C6496" w:rsidP="001C6496">
      <w:pPr>
        <w:spacing w:before="120" w:after="120"/>
        <w:jc w:val="both"/>
        <w:rPr>
          <w:rFonts w:ascii="Arial" w:hAnsi="Arial" w:cs="Arial"/>
        </w:rPr>
      </w:pPr>
    </w:p>
    <w:p w:rsidR="001C6496" w:rsidRPr="00177FE8" w:rsidRDefault="001C6496" w:rsidP="001C6496">
      <w:pPr>
        <w:spacing w:before="120" w:after="120"/>
        <w:jc w:val="both"/>
        <w:rPr>
          <w:rFonts w:ascii="Arial" w:hAnsi="Arial" w:cs="Arial"/>
        </w:rPr>
      </w:pPr>
    </w:p>
    <w:p w:rsidR="001C6496" w:rsidRPr="00177FE8" w:rsidRDefault="001C6496" w:rsidP="001C6496">
      <w:pPr>
        <w:spacing w:before="120" w:after="120"/>
        <w:jc w:val="center"/>
        <w:rPr>
          <w:rFonts w:ascii="Arial" w:hAnsi="Arial" w:cs="Arial"/>
          <w:b/>
          <w:bCs/>
          <w:color w:val="000000"/>
        </w:rPr>
      </w:pPr>
      <w:r w:rsidRPr="00177FE8">
        <w:rPr>
          <w:rFonts w:ascii="Arial" w:hAnsi="Arial" w:cs="Arial"/>
          <w:noProof/>
          <w:lang w:val="es-CL" w:eastAsia="es-CL"/>
        </w:rPr>
        <w:drawing>
          <wp:inline distT="0" distB="0" distL="0" distR="0" wp14:anchorId="1E22DB99" wp14:editId="3A4F2EC9">
            <wp:extent cx="2520000" cy="933743"/>
            <wp:effectExtent l="0" t="0" r="0" b="0"/>
            <wp:docPr id="2" name="Imagen 2" descr="C:\Users\Luis Opazo\AppData\Local\Microsoft\Windows\Temporary Internet Files\Content.Outlook\HV78LBKI\logo grupo EFE may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Opazo\AppData\Local\Microsoft\Windows\Temporary Internet Files\Content.Outlook\HV78LBKI\logo grupo EFE may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933743"/>
                    </a:xfrm>
                    <a:prstGeom prst="rect">
                      <a:avLst/>
                    </a:prstGeom>
                    <a:noFill/>
                    <a:ln>
                      <a:noFill/>
                    </a:ln>
                  </pic:spPr>
                </pic:pic>
              </a:graphicData>
            </a:graphic>
          </wp:inline>
        </w:drawing>
      </w:r>
    </w:p>
    <w:p w:rsidR="001C6496" w:rsidRPr="00177FE8" w:rsidRDefault="001C6496" w:rsidP="001C6496">
      <w:pPr>
        <w:spacing w:before="120" w:after="120"/>
        <w:jc w:val="center"/>
        <w:rPr>
          <w:rFonts w:ascii="Arial" w:hAnsi="Arial" w:cs="Arial"/>
          <w:bCs/>
          <w:color w:val="000000"/>
        </w:rPr>
      </w:pPr>
      <w:r w:rsidRPr="00177FE8">
        <w:rPr>
          <w:rFonts w:ascii="Arial" w:hAnsi="Arial" w:cs="Arial"/>
          <w:bCs/>
          <w:color w:val="000000"/>
        </w:rPr>
        <w:t>Empresa de los Ferrocarriles del Estado</w:t>
      </w:r>
    </w:p>
    <w:p w:rsidR="001C6496" w:rsidRPr="00177FE8" w:rsidRDefault="001C6496" w:rsidP="001C6496">
      <w:pPr>
        <w:spacing w:before="120" w:after="120"/>
        <w:jc w:val="both"/>
        <w:rPr>
          <w:rFonts w:ascii="Arial" w:hAnsi="Arial" w:cs="Arial"/>
          <w:b/>
          <w:bCs/>
          <w:color w:val="000000"/>
        </w:rPr>
      </w:pPr>
    </w:p>
    <w:p w:rsidR="001C6496" w:rsidRPr="00177FE8" w:rsidRDefault="001C6496" w:rsidP="001C6496">
      <w:pPr>
        <w:spacing w:before="120" w:after="120"/>
        <w:jc w:val="both"/>
        <w:rPr>
          <w:rFonts w:ascii="Arial" w:hAnsi="Arial" w:cs="Arial"/>
          <w:b/>
          <w:bCs/>
          <w:color w:val="000000"/>
        </w:rPr>
      </w:pPr>
    </w:p>
    <w:p w:rsidR="001C6496" w:rsidRPr="00177FE8" w:rsidRDefault="001C6496" w:rsidP="001C6496">
      <w:pPr>
        <w:spacing w:before="120" w:after="120"/>
        <w:jc w:val="both"/>
        <w:rPr>
          <w:rFonts w:ascii="Arial" w:hAnsi="Arial" w:cs="Arial"/>
          <w:b/>
          <w:bCs/>
          <w:color w:val="000000"/>
        </w:rPr>
      </w:pPr>
    </w:p>
    <w:p w:rsidR="001C6496" w:rsidRPr="00974AA9" w:rsidRDefault="001C6496" w:rsidP="001C6496">
      <w:pPr>
        <w:pStyle w:val="Puesto"/>
        <w:spacing w:before="120" w:after="120"/>
        <w:jc w:val="both"/>
        <w:rPr>
          <w:rFonts w:ascii="Arial" w:hAnsi="Arial" w:cs="Arial"/>
          <w:sz w:val="24"/>
          <w:szCs w:val="24"/>
          <w:u w:val="none"/>
          <w:lang w:val="es-CL"/>
        </w:rPr>
      </w:pPr>
    </w:p>
    <w:p w:rsidR="00596709" w:rsidRDefault="00596709" w:rsidP="00596709">
      <w:pPr>
        <w:pStyle w:val="Puesto"/>
        <w:spacing w:before="120" w:after="120"/>
        <w:jc w:val="both"/>
        <w:rPr>
          <w:rFonts w:ascii="Arial" w:hAnsi="Arial" w:cs="Arial"/>
          <w:sz w:val="24"/>
          <w:szCs w:val="24"/>
          <w:u w:val="none"/>
          <w:lang w:val="es-CL"/>
        </w:rPr>
      </w:pPr>
    </w:p>
    <w:p w:rsidR="00596709" w:rsidRDefault="00596709" w:rsidP="00596709">
      <w:pPr>
        <w:spacing w:before="120" w:after="120"/>
        <w:jc w:val="center"/>
        <w:rPr>
          <w:rFonts w:ascii="Arial" w:hAnsi="Arial" w:cs="Arial"/>
          <w:b/>
          <w:u w:val="single"/>
          <w:lang w:val="es-CL"/>
        </w:rPr>
      </w:pPr>
      <w:r w:rsidRPr="00596709">
        <w:rPr>
          <w:rFonts w:ascii="Arial" w:hAnsi="Arial" w:cs="Arial"/>
          <w:b/>
        </w:rPr>
        <w:t xml:space="preserve">LICITACIÓN </w:t>
      </w:r>
      <w:r w:rsidRPr="00596709">
        <w:rPr>
          <w:rFonts w:ascii="Arial" w:hAnsi="Arial" w:cs="Arial"/>
          <w:b/>
          <w:lang w:val="es-CL"/>
        </w:rPr>
        <w:t>PÚBLICA DE PERMUTA DE TERRENO PARA CONSTRUCCIÓN, HABILITACIÓN Y OPERACIÓN DE PROYECTOS HABITACIONALES, DE EQUIPAMIENTO COMERCIAL U OTROS SOBRE TERRENO LABRANZA, LOTES 18,19, 20</w:t>
      </w:r>
    </w:p>
    <w:p w:rsidR="001C6496" w:rsidRPr="00177FE8" w:rsidRDefault="001C6496" w:rsidP="001C6496">
      <w:pPr>
        <w:spacing w:before="120" w:after="120"/>
        <w:jc w:val="center"/>
        <w:rPr>
          <w:rFonts w:ascii="Arial" w:hAnsi="Arial" w:cs="Arial"/>
          <w:b/>
          <w:u w:val="single"/>
          <w:lang w:val="es-CL"/>
        </w:rPr>
      </w:pPr>
    </w:p>
    <w:p w:rsidR="001C6496" w:rsidRPr="00177FE8" w:rsidRDefault="001C6496" w:rsidP="001C6496">
      <w:pPr>
        <w:pStyle w:val="NormalWeb"/>
        <w:spacing w:before="120" w:beforeAutospacing="0" w:after="120" w:afterAutospacing="0"/>
        <w:jc w:val="center"/>
        <w:rPr>
          <w:rFonts w:ascii="Arial" w:hAnsi="Arial" w:cs="Arial"/>
          <w:b/>
          <w:bCs/>
          <w:color w:val="000000"/>
        </w:rPr>
      </w:pPr>
    </w:p>
    <w:p w:rsidR="001C6496" w:rsidRPr="00177FE8" w:rsidRDefault="001C6496" w:rsidP="001C6496">
      <w:pPr>
        <w:pStyle w:val="NormalWeb"/>
        <w:spacing w:before="120" w:beforeAutospacing="0" w:after="120" w:afterAutospacing="0"/>
        <w:jc w:val="center"/>
        <w:rPr>
          <w:rFonts w:ascii="Arial" w:hAnsi="Arial" w:cs="Arial"/>
          <w:bCs/>
          <w:color w:val="000000"/>
        </w:rPr>
      </w:pPr>
    </w:p>
    <w:p w:rsidR="001C6496" w:rsidRDefault="00346896" w:rsidP="001C6496">
      <w:pPr>
        <w:pStyle w:val="Puesto"/>
        <w:spacing w:before="120" w:after="120"/>
        <w:rPr>
          <w:rFonts w:ascii="Arial" w:hAnsi="Arial" w:cs="Arial"/>
          <w:sz w:val="24"/>
          <w:szCs w:val="24"/>
          <w:u w:val="none"/>
        </w:rPr>
      </w:pPr>
      <w:r>
        <w:rPr>
          <w:rFonts w:ascii="Arial" w:hAnsi="Arial" w:cs="Arial"/>
          <w:sz w:val="24"/>
          <w:szCs w:val="24"/>
          <w:u w:val="none"/>
        </w:rPr>
        <w:t>REQUISITOS MÍNIMOS</w:t>
      </w:r>
      <w:r w:rsidR="00874865">
        <w:rPr>
          <w:rFonts w:ascii="Arial" w:hAnsi="Arial" w:cs="Arial"/>
          <w:sz w:val="24"/>
          <w:szCs w:val="24"/>
          <w:u w:val="none"/>
        </w:rPr>
        <w:t xml:space="preserve"> PARA PARTICIPAR EN LA LICITACIÓN</w:t>
      </w:r>
    </w:p>
    <w:p w:rsidR="001C6496" w:rsidRDefault="001C6496" w:rsidP="001C6496">
      <w:pPr>
        <w:pStyle w:val="Puesto"/>
        <w:spacing w:before="120" w:after="120"/>
        <w:rPr>
          <w:rFonts w:ascii="Arial" w:hAnsi="Arial" w:cs="Arial"/>
          <w:sz w:val="24"/>
          <w:szCs w:val="24"/>
          <w:u w:val="none"/>
        </w:rPr>
      </w:pPr>
    </w:p>
    <w:p w:rsidR="008166B2" w:rsidRDefault="008166B2" w:rsidP="001C6496">
      <w:pPr>
        <w:pStyle w:val="Puesto"/>
        <w:spacing w:before="120" w:after="120"/>
        <w:rPr>
          <w:rFonts w:ascii="Arial" w:hAnsi="Arial" w:cs="Arial"/>
          <w:sz w:val="24"/>
          <w:szCs w:val="24"/>
          <w:u w:val="none"/>
        </w:rPr>
      </w:pPr>
    </w:p>
    <w:p w:rsidR="008166B2" w:rsidRDefault="008166B2" w:rsidP="001C6496">
      <w:pPr>
        <w:pStyle w:val="Puesto"/>
        <w:spacing w:before="120" w:after="120"/>
        <w:rPr>
          <w:rFonts w:ascii="Arial" w:hAnsi="Arial" w:cs="Arial"/>
          <w:sz w:val="24"/>
          <w:szCs w:val="24"/>
          <w:u w:val="none"/>
        </w:rPr>
      </w:pPr>
    </w:p>
    <w:p w:rsidR="008166B2" w:rsidRDefault="008166B2"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r>
        <w:rPr>
          <w:rFonts w:ascii="Arial" w:hAnsi="Arial" w:cs="Arial"/>
          <w:sz w:val="24"/>
          <w:szCs w:val="24"/>
          <w:u w:val="none"/>
        </w:rPr>
        <w:t>GERENCIA COMERCIAL Y DE NEGOCIOS CORPORATIVOS</w:t>
      </w:r>
    </w:p>
    <w:p w:rsidR="001C6496" w:rsidRDefault="001C6496"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p>
    <w:p w:rsidR="001C6496" w:rsidRPr="00177FE8" w:rsidRDefault="001C6496" w:rsidP="001C6496">
      <w:pPr>
        <w:pStyle w:val="Puesto"/>
        <w:spacing w:before="120" w:after="120"/>
        <w:rPr>
          <w:rFonts w:ascii="Arial" w:hAnsi="Arial" w:cs="Arial"/>
          <w:sz w:val="24"/>
          <w:szCs w:val="24"/>
          <w:u w:val="none"/>
          <w:lang w:val="es-CL"/>
        </w:rPr>
      </w:pPr>
      <w:r>
        <w:rPr>
          <w:rFonts w:ascii="Arial" w:hAnsi="Arial" w:cs="Arial"/>
          <w:sz w:val="24"/>
          <w:szCs w:val="24"/>
          <w:u w:val="none"/>
        </w:rPr>
        <w:t>2021</w:t>
      </w:r>
    </w:p>
    <w:p w:rsidR="002E6A8C" w:rsidRDefault="002E6A8C" w:rsidP="001C6496">
      <w:pPr>
        <w:pStyle w:val="Ttulo1"/>
        <w:spacing w:before="120" w:beforeAutospacing="0" w:after="120" w:afterAutospacing="0"/>
        <w:ind w:left="927"/>
        <w:jc w:val="center"/>
        <w:rPr>
          <w:rFonts w:ascii="Arial" w:hAnsi="Arial" w:cs="Arial"/>
          <w:color w:val="000000"/>
          <w:kern w:val="0"/>
          <w:sz w:val="20"/>
          <w:szCs w:val="22"/>
          <w:u w:val="single"/>
        </w:rPr>
      </w:pPr>
    </w:p>
    <w:p w:rsidR="001C6496" w:rsidRPr="00E91CD7" w:rsidRDefault="00346896" w:rsidP="001C6496">
      <w:pPr>
        <w:pStyle w:val="Ttulo1"/>
        <w:spacing w:before="120" w:beforeAutospacing="0" w:after="120" w:afterAutospacing="0"/>
        <w:ind w:left="927"/>
        <w:jc w:val="center"/>
        <w:rPr>
          <w:rFonts w:ascii="Arial" w:hAnsi="Arial" w:cs="Arial"/>
          <w:color w:val="000000"/>
          <w:kern w:val="0"/>
          <w:sz w:val="20"/>
          <w:szCs w:val="22"/>
          <w:u w:val="single"/>
        </w:rPr>
      </w:pPr>
      <w:r w:rsidRPr="00E91CD7">
        <w:rPr>
          <w:rFonts w:ascii="Arial" w:hAnsi="Arial" w:cs="Arial"/>
          <w:color w:val="000000"/>
          <w:kern w:val="0"/>
          <w:sz w:val="20"/>
          <w:szCs w:val="22"/>
          <w:u w:val="single"/>
        </w:rPr>
        <w:t>REQUISITOS MÍNIMOS PARA PART</w:t>
      </w:r>
      <w:r w:rsidR="00D152E5" w:rsidRPr="00E91CD7">
        <w:rPr>
          <w:rFonts w:ascii="Arial" w:hAnsi="Arial" w:cs="Arial"/>
          <w:color w:val="000000"/>
          <w:kern w:val="0"/>
          <w:sz w:val="20"/>
          <w:szCs w:val="22"/>
          <w:u w:val="single"/>
        </w:rPr>
        <w:t>I</w:t>
      </w:r>
      <w:r w:rsidRPr="00E91CD7">
        <w:rPr>
          <w:rFonts w:ascii="Arial" w:hAnsi="Arial" w:cs="Arial"/>
          <w:color w:val="000000"/>
          <w:kern w:val="0"/>
          <w:sz w:val="20"/>
          <w:szCs w:val="22"/>
          <w:u w:val="single"/>
        </w:rPr>
        <w:t>CIPAR EN LA</w:t>
      </w:r>
      <w:r w:rsidR="001C6496" w:rsidRPr="00E91CD7">
        <w:rPr>
          <w:rFonts w:ascii="Arial" w:hAnsi="Arial" w:cs="Arial"/>
          <w:color w:val="000000"/>
          <w:kern w:val="0"/>
          <w:sz w:val="20"/>
          <w:szCs w:val="22"/>
          <w:u w:val="single"/>
        </w:rPr>
        <w:t xml:space="preserve"> LICITACIÓN</w:t>
      </w:r>
    </w:p>
    <w:p w:rsidR="00BA0E3D" w:rsidRPr="00E91CD7" w:rsidRDefault="00BA0E3D" w:rsidP="001C6496">
      <w:pPr>
        <w:pStyle w:val="Ttulo1"/>
        <w:spacing w:before="120" w:beforeAutospacing="0" w:after="120" w:afterAutospacing="0"/>
        <w:ind w:left="927"/>
        <w:jc w:val="center"/>
        <w:rPr>
          <w:rFonts w:ascii="Arial" w:hAnsi="Arial" w:cs="Arial"/>
          <w:color w:val="000000"/>
          <w:kern w:val="0"/>
          <w:sz w:val="20"/>
          <w:szCs w:val="22"/>
          <w:u w:val="single"/>
        </w:rPr>
      </w:pPr>
    </w:p>
    <w:p w:rsidR="00BA0E3D" w:rsidRPr="00E91CD7" w:rsidRDefault="00BA0E3D" w:rsidP="00BA0E3D">
      <w:pPr>
        <w:pStyle w:val="Default"/>
        <w:rPr>
          <w:sz w:val="20"/>
          <w:szCs w:val="22"/>
        </w:rPr>
      </w:pPr>
      <w:r w:rsidRPr="00E91CD7">
        <w:rPr>
          <w:b/>
          <w:bCs/>
          <w:sz w:val="20"/>
          <w:szCs w:val="22"/>
        </w:rPr>
        <w:t xml:space="preserve">ALCANCE DE LA LICITACIÓN </w:t>
      </w:r>
    </w:p>
    <w:p w:rsidR="008166B2" w:rsidRDefault="008166B2" w:rsidP="008166B2">
      <w:pPr>
        <w:pStyle w:val="Ttulo1"/>
        <w:spacing w:before="120" w:beforeAutospacing="0" w:after="120" w:afterAutospacing="0"/>
        <w:jc w:val="both"/>
        <w:rPr>
          <w:rFonts w:ascii="Arial" w:hAnsi="Arial" w:cs="Arial"/>
          <w:b w:val="0"/>
          <w:bCs w:val="0"/>
          <w:kern w:val="0"/>
          <w:sz w:val="20"/>
          <w:szCs w:val="22"/>
          <w:lang w:val="es-CL"/>
        </w:rPr>
      </w:pPr>
      <w:r w:rsidRPr="008166B2">
        <w:rPr>
          <w:rFonts w:ascii="Arial" w:hAnsi="Arial" w:cs="Arial"/>
          <w:b w:val="0"/>
          <w:bCs w:val="0"/>
          <w:kern w:val="0"/>
          <w:sz w:val="20"/>
          <w:szCs w:val="22"/>
          <w:lang w:val="es-CL"/>
        </w:rPr>
        <w:t xml:space="preserve">EFE seleccionará a través del proceso de licitación pública al comprador / desarrollador para que </w:t>
      </w:r>
      <w:r w:rsidR="007F35E5">
        <w:rPr>
          <w:rFonts w:ascii="Arial" w:hAnsi="Arial" w:cs="Arial"/>
          <w:b w:val="0"/>
          <w:bCs w:val="0"/>
          <w:kern w:val="0"/>
          <w:sz w:val="20"/>
          <w:szCs w:val="22"/>
          <w:lang w:val="es-CL"/>
        </w:rPr>
        <w:t xml:space="preserve">adquiera el </w:t>
      </w:r>
      <w:r w:rsidR="007F35E5" w:rsidRPr="008166B2">
        <w:rPr>
          <w:rFonts w:ascii="Arial" w:hAnsi="Arial" w:cs="Arial"/>
          <w:b w:val="0"/>
          <w:bCs w:val="0"/>
          <w:kern w:val="0"/>
          <w:sz w:val="20"/>
          <w:szCs w:val="22"/>
          <w:lang w:val="es-CL"/>
        </w:rPr>
        <w:t>“</w:t>
      </w:r>
      <w:r w:rsidR="00AB6579">
        <w:rPr>
          <w:rFonts w:ascii="Arial" w:hAnsi="Arial" w:cs="Arial"/>
          <w:b w:val="0"/>
          <w:bCs w:val="0"/>
          <w:kern w:val="0"/>
          <w:sz w:val="20"/>
          <w:szCs w:val="22"/>
          <w:lang w:val="es-CL"/>
        </w:rPr>
        <w:t xml:space="preserve">Terreno Labranza, Lotes </w:t>
      </w:r>
      <w:r w:rsidR="002E6A8C">
        <w:rPr>
          <w:rFonts w:ascii="Arial" w:hAnsi="Arial" w:cs="Arial"/>
          <w:b w:val="0"/>
          <w:bCs w:val="0"/>
          <w:kern w:val="0"/>
          <w:sz w:val="20"/>
          <w:szCs w:val="22"/>
          <w:lang w:val="es-CL"/>
        </w:rPr>
        <w:t xml:space="preserve">18, 19 y </w:t>
      </w:r>
      <w:r w:rsidR="007F35E5" w:rsidRPr="008166B2">
        <w:rPr>
          <w:rFonts w:ascii="Arial" w:hAnsi="Arial" w:cs="Arial"/>
          <w:b w:val="0"/>
          <w:bCs w:val="0"/>
          <w:kern w:val="0"/>
          <w:sz w:val="20"/>
          <w:szCs w:val="22"/>
          <w:lang w:val="es-CL"/>
        </w:rPr>
        <w:t>20”</w:t>
      </w:r>
      <w:r w:rsidR="002E6A8C">
        <w:rPr>
          <w:rFonts w:ascii="Arial" w:hAnsi="Arial" w:cs="Arial"/>
          <w:b w:val="0"/>
          <w:bCs w:val="0"/>
          <w:kern w:val="0"/>
          <w:sz w:val="20"/>
          <w:szCs w:val="22"/>
          <w:lang w:val="es-CL"/>
        </w:rPr>
        <w:t>,</w:t>
      </w:r>
      <w:r w:rsidR="00AB6579">
        <w:rPr>
          <w:rFonts w:ascii="Arial" w:hAnsi="Arial" w:cs="Arial"/>
          <w:b w:val="0"/>
          <w:bCs w:val="0"/>
          <w:kern w:val="0"/>
          <w:sz w:val="20"/>
          <w:szCs w:val="22"/>
          <w:lang w:val="es-CL"/>
        </w:rPr>
        <w:t xml:space="preserve"> </w:t>
      </w:r>
      <w:r w:rsidRPr="008166B2">
        <w:rPr>
          <w:rFonts w:ascii="Arial" w:hAnsi="Arial" w:cs="Arial"/>
          <w:b w:val="0"/>
          <w:bCs w:val="0"/>
          <w:kern w:val="0"/>
          <w:sz w:val="20"/>
          <w:szCs w:val="22"/>
          <w:lang w:val="es-CL"/>
        </w:rPr>
        <w:t xml:space="preserve">y construya un Proyecto que incorpore el  Equipamiento Comercial a entregar a EFE </w:t>
      </w:r>
      <w:r w:rsidR="007F35E5">
        <w:rPr>
          <w:rFonts w:ascii="Arial" w:hAnsi="Arial" w:cs="Arial"/>
          <w:b w:val="0"/>
          <w:bCs w:val="0"/>
          <w:kern w:val="0"/>
          <w:sz w:val="20"/>
          <w:szCs w:val="22"/>
          <w:lang w:val="es-CL"/>
        </w:rPr>
        <w:t xml:space="preserve">a modo de permuta, </w:t>
      </w:r>
      <w:r w:rsidRPr="008166B2">
        <w:rPr>
          <w:rFonts w:ascii="Arial" w:hAnsi="Arial" w:cs="Arial"/>
          <w:b w:val="0"/>
          <w:bCs w:val="0"/>
          <w:kern w:val="0"/>
          <w:sz w:val="20"/>
          <w:szCs w:val="22"/>
          <w:lang w:val="es-CL"/>
        </w:rPr>
        <w:t xml:space="preserve">y, posteriormente, si lo considera pertinente, ejecute la comercialización, explotación y administración de esta parte del Proyecto, como del </w:t>
      </w:r>
      <w:r>
        <w:rPr>
          <w:rFonts w:ascii="Arial" w:hAnsi="Arial" w:cs="Arial"/>
          <w:b w:val="0"/>
          <w:bCs w:val="0"/>
          <w:kern w:val="0"/>
          <w:sz w:val="20"/>
          <w:szCs w:val="22"/>
          <w:lang w:val="es-CL"/>
        </w:rPr>
        <w:t>r</w:t>
      </w:r>
      <w:r w:rsidR="00AB6579">
        <w:rPr>
          <w:rFonts w:ascii="Arial" w:hAnsi="Arial" w:cs="Arial"/>
          <w:b w:val="0"/>
          <w:bCs w:val="0"/>
          <w:kern w:val="0"/>
          <w:sz w:val="20"/>
          <w:szCs w:val="22"/>
          <w:lang w:val="es-CL"/>
        </w:rPr>
        <w:t>esto, que será de su propiedad.</w:t>
      </w:r>
    </w:p>
    <w:p w:rsidR="00AB6579" w:rsidRPr="008166B2" w:rsidRDefault="00AB6579" w:rsidP="008166B2">
      <w:pPr>
        <w:pStyle w:val="Ttulo1"/>
        <w:spacing w:before="120" w:beforeAutospacing="0" w:after="120" w:afterAutospacing="0"/>
        <w:jc w:val="both"/>
        <w:rPr>
          <w:rFonts w:ascii="Arial" w:hAnsi="Arial" w:cs="Arial"/>
          <w:b w:val="0"/>
          <w:bCs w:val="0"/>
          <w:kern w:val="0"/>
          <w:sz w:val="20"/>
          <w:szCs w:val="22"/>
          <w:lang w:val="es-CL"/>
        </w:rPr>
      </w:pPr>
    </w:p>
    <w:p w:rsidR="005E2D20" w:rsidRPr="00E91CD7" w:rsidRDefault="005E2D20" w:rsidP="005E2D20">
      <w:pPr>
        <w:pStyle w:val="Default"/>
        <w:rPr>
          <w:sz w:val="20"/>
          <w:szCs w:val="22"/>
        </w:rPr>
      </w:pPr>
      <w:r w:rsidRPr="00E91CD7">
        <w:rPr>
          <w:b/>
          <w:bCs/>
          <w:sz w:val="20"/>
          <w:szCs w:val="22"/>
        </w:rPr>
        <w:t xml:space="preserve">VALOR DE LAS BASES DE LICITACIÓN </w:t>
      </w:r>
    </w:p>
    <w:p w:rsidR="005E2D20" w:rsidRDefault="005E2D20" w:rsidP="005E2D20">
      <w:pPr>
        <w:pStyle w:val="Ttulo1"/>
        <w:spacing w:before="120" w:beforeAutospacing="0" w:after="120" w:afterAutospacing="0"/>
        <w:jc w:val="both"/>
        <w:rPr>
          <w:rFonts w:ascii="Arial" w:hAnsi="Arial" w:cs="Arial"/>
          <w:b w:val="0"/>
          <w:bCs w:val="0"/>
          <w:kern w:val="0"/>
          <w:sz w:val="20"/>
          <w:szCs w:val="22"/>
          <w:lang w:val="es-CL"/>
        </w:rPr>
      </w:pPr>
      <w:r w:rsidRPr="00E91CD7">
        <w:rPr>
          <w:rFonts w:ascii="Arial" w:hAnsi="Arial" w:cs="Arial"/>
          <w:b w:val="0"/>
          <w:bCs w:val="0"/>
          <w:kern w:val="0"/>
          <w:sz w:val="20"/>
          <w:szCs w:val="22"/>
          <w:lang w:val="es-CL"/>
        </w:rPr>
        <w:t>Las Bases de esta li</w:t>
      </w:r>
      <w:r w:rsidR="00596709">
        <w:rPr>
          <w:rFonts w:ascii="Arial" w:hAnsi="Arial" w:cs="Arial"/>
          <w:b w:val="0"/>
          <w:bCs w:val="0"/>
          <w:kern w:val="0"/>
          <w:sz w:val="20"/>
          <w:szCs w:val="22"/>
          <w:lang w:val="es-CL"/>
        </w:rPr>
        <w:t>citación tendrán un costo de $10</w:t>
      </w:r>
      <w:r w:rsidR="001E569A">
        <w:rPr>
          <w:rFonts w:ascii="Arial" w:hAnsi="Arial" w:cs="Arial"/>
          <w:b w:val="0"/>
          <w:bCs w:val="0"/>
          <w:kern w:val="0"/>
          <w:sz w:val="20"/>
          <w:szCs w:val="22"/>
          <w:lang w:val="es-CL"/>
        </w:rPr>
        <w:t xml:space="preserve">0.000 (cien mil </w:t>
      </w:r>
      <w:r w:rsidRPr="00E91CD7">
        <w:rPr>
          <w:rFonts w:ascii="Arial" w:hAnsi="Arial" w:cs="Arial"/>
          <w:b w:val="0"/>
          <w:bCs w:val="0"/>
          <w:kern w:val="0"/>
          <w:sz w:val="20"/>
          <w:szCs w:val="22"/>
          <w:lang w:val="es-CL"/>
        </w:rPr>
        <w:t>pesos chilenos</w:t>
      </w:r>
      <w:r w:rsidR="001E569A">
        <w:rPr>
          <w:rFonts w:ascii="Arial" w:hAnsi="Arial" w:cs="Arial"/>
          <w:b w:val="0"/>
          <w:bCs w:val="0"/>
          <w:kern w:val="0"/>
          <w:sz w:val="20"/>
          <w:szCs w:val="22"/>
          <w:lang w:val="es-CL"/>
        </w:rPr>
        <w:t>,</w:t>
      </w:r>
      <w:r w:rsidRPr="00E91CD7">
        <w:rPr>
          <w:rFonts w:ascii="Arial" w:hAnsi="Arial" w:cs="Arial"/>
          <w:b w:val="0"/>
          <w:bCs w:val="0"/>
          <w:kern w:val="0"/>
          <w:sz w:val="20"/>
          <w:szCs w:val="22"/>
          <w:lang w:val="es-CL"/>
        </w:rPr>
        <w:t xml:space="preserve"> IVA incluido) y deberán ser solicitadas en el período que se indica en el cronograma de licitación. El pago de las bases deberá ser realizado mediante transferencia electrónica, enviando comprobante de pago al e-</w:t>
      </w:r>
      <w:r w:rsidR="001E569A">
        <w:rPr>
          <w:rFonts w:ascii="Arial" w:hAnsi="Arial" w:cs="Arial"/>
          <w:b w:val="0"/>
          <w:bCs w:val="0"/>
          <w:kern w:val="0"/>
          <w:sz w:val="20"/>
          <w:szCs w:val="22"/>
          <w:lang w:val="es-CL"/>
        </w:rPr>
        <w:t xml:space="preserve">mail </w:t>
      </w:r>
      <w:hyperlink r:id="rId8" w:history="1">
        <w:r w:rsidR="001E569A" w:rsidRPr="00FA2F0E">
          <w:rPr>
            <w:rStyle w:val="Hipervnculo"/>
            <w:rFonts w:ascii="Arial" w:hAnsi="Arial" w:cs="Arial"/>
            <w:b w:val="0"/>
            <w:bCs w:val="0"/>
            <w:kern w:val="0"/>
            <w:sz w:val="20"/>
            <w:szCs w:val="22"/>
            <w:lang w:val="es-CL"/>
          </w:rPr>
          <w:t>desarrollonegocios@efe.cl</w:t>
        </w:r>
      </w:hyperlink>
      <w:r w:rsidR="001E569A">
        <w:rPr>
          <w:rFonts w:ascii="Arial" w:hAnsi="Arial" w:cs="Arial"/>
          <w:b w:val="0"/>
          <w:bCs w:val="0"/>
          <w:kern w:val="0"/>
          <w:sz w:val="20"/>
          <w:szCs w:val="22"/>
          <w:lang w:val="es-CL"/>
        </w:rPr>
        <w:t xml:space="preserve"> y </w:t>
      </w:r>
      <w:hyperlink r:id="rId9" w:history="1">
        <w:r w:rsidR="00D353F0" w:rsidRPr="00FA2F0E">
          <w:rPr>
            <w:rStyle w:val="Hipervnculo"/>
            <w:rFonts w:ascii="Arial" w:hAnsi="Arial" w:cs="Arial"/>
            <w:b w:val="0"/>
            <w:bCs w:val="0"/>
            <w:kern w:val="0"/>
            <w:sz w:val="20"/>
            <w:szCs w:val="22"/>
            <w:lang w:val="es-CL"/>
          </w:rPr>
          <w:t>centro.pagos@efe.cl</w:t>
        </w:r>
      </w:hyperlink>
      <w:r w:rsidR="001E569A">
        <w:rPr>
          <w:rFonts w:ascii="Arial" w:hAnsi="Arial" w:cs="Arial"/>
          <w:b w:val="0"/>
          <w:bCs w:val="0"/>
          <w:kern w:val="0"/>
          <w:sz w:val="20"/>
          <w:szCs w:val="22"/>
          <w:lang w:val="es-CL"/>
        </w:rPr>
        <w:t xml:space="preserve">. </w:t>
      </w:r>
      <w:r w:rsidRPr="00E91CD7">
        <w:rPr>
          <w:rFonts w:ascii="Arial" w:hAnsi="Arial" w:cs="Arial"/>
          <w:b w:val="0"/>
          <w:bCs w:val="0"/>
          <w:kern w:val="0"/>
          <w:sz w:val="20"/>
          <w:szCs w:val="22"/>
          <w:lang w:val="es-CL"/>
        </w:rPr>
        <w:t>Los datos bancarios de la Empresa de los Ferrocarriles del Estado son los siguientes:</w:t>
      </w:r>
    </w:p>
    <w:p w:rsidR="00AB6579" w:rsidRPr="00E91CD7" w:rsidRDefault="00AB6579" w:rsidP="005E2D20">
      <w:pPr>
        <w:pStyle w:val="Ttulo1"/>
        <w:spacing w:before="120" w:beforeAutospacing="0" w:after="120" w:afterAutospacing="0"/>
        <w:jc w:val="both"/>
        <w:rPr>
          <w:rFonts w:ascii="Arial" w:hAnsi="Arial" w:cs="Arial"/>
          <w:b w:val="0"/>
          <w:bCs w:val="0"/>
          <w:kern w:val="0"/>
          <w:sz w:val="20"/>
          <w:szCs w:val="22"/>
          <w:lang w:val="es-CL"/>
        </w:rPr>
      </w:pPr>
    </w:p>
    <w:tbl>
      <w:tblPr>
        <w:tblW w:w="7040" w:type="dxa"/>
        <w:jc w:val="center"/>
        <w:tblCellMar>
          <w:left w:w="70" w:type="dxa"/>
          <w:right w:w="70" w:type="dxa"/>
        </w:tblCellMar>
        <w:tblLook w:val="04A0" w:firstRow="1" w:lastRow="0" w:firstColumn="1" w:lastColumn="0" w:noHBand="0" w:noVBand="1"/>
      </w:tblPr>
      <w:tblGrid>
        <w:gridCol w:w="2260"/>
        <w:gridCol w:w="4780"/>
      </w:tblGrid>
      <w:tr w:rsidR="00CF7502" w:rsidRPr="00E91CD7" w:rsidTr="00CF7502">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NOMBRE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Empresa de los Ferrocarriles del Estado</w:t>
            </w:r>
          </w:p>
        </w:tc>
      </w:tr>
      <w:tr w:rsidR="00CF7502" w:rsidRPr="00E91CD7" w:rsidTr="00CF7502">
        <w:trPr>
          <w:trHeight w:val="300"/>
          <w:jc w:val="center"/>
        </w:trPr>
        <w:tc>
          <w:tcPr>
            <w:tcW w:w="2260" w:type="dxa"/>
            <w:tcBorders>
              <w:top w:val="nil"/>
              <w:left w:val="single" w:sz="4" w:space="0" w:color="auto"/>
              <w:bottom w:val="single" w:sz="4" w:space="0" w:color="auto"/>
              <w:right w:val="single" w:sz="4" w:space="0" w:color="auto"/>
            </w:tcBorders>
            <w:shd w:val="clear" w:color="000000" w:fill="BDD7EE"/>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BANCO</w:t>
            </w:r>
          </w:p>
        </w:tc>
        <w:tc>
          <w:tcPr>
            <w:tcW w:w="4780" w:type="dxa"/>
            <w:tcBorders>
              <w:top w:val="nil"/>
              <w:left w:val="nil"/>
              <w:bottom w:val="single" w:sz="4" w:space="0" w:color="auto"/>
              <w:right w:val="single" w:sz="4" w:space="0" w:color="auto"/>
            </w:tcBorders>
            <w:shd w:val="clear" w:color="auto" w:fill="auto"/>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Banco de Chile</w:t>
            </w:r>
          </w:p>
        </w:tc>
      </w:tr>
      <w:tr w:rsidR="00CF7502" w:rsidRPr="00E91CD7" w:rsidTr="00CF7502">
        <w:trPr>
          <w:trHeight w:val="300"/>
          <w:jc w:val="center"/>
        </w:trPr>
        <w:tc>
          <w:tcPr>
            <w:tcW w:w="2260" w:type="dxa"/>
            <w:tcBorders>
              <w:top w:val="nil"/>
              <w:left w:val="single" w:sz="4" w:space="0" w:color="auto"/>
              <w:bottom w:val="single" w:sz="4" w:space="0" w:color="auto"/>
              <w:right w:val="single" w:sz="4" w:space="0" w:color="auto"/>
            </w:tcBorders>
            <w:shd w:val="clear" w:color="000000" w:fill="BDD7EE"/>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CUENTA CORRIENTE</w:t>
            </w:r>
          </w:p>
        </w:tc>
        <w:tc>
          <w:tcPr>
            <w:tcW w:w="4780" w:type="dxa"/>
            <w:tcBorders>
              <w:top w:val="nil"/>
              <w:left w:val="nil"/>
              <w:bottom w:val="single" w:sz="4" w:space="0" w:color="auto"/>
              <w:right w:val="single" w:sz="4" w:space="0" w:color="auto"/>
            </w:tcBorders>
            <w:shd w:val="clear" w:color="auto" w:fill="auto"/>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155-25323-09</w:t>
            </w:r>
          </w:p>
        </w:tc>
      </w:tr>
      <w:tr w:rsidR="00CF7502" w:rsidRPr="00E91CD7" w:rsidTr="00CF7502">
        <w:trPr>
          <w:trHeight w:val="300"/>
          <w:jc w:val="center"/>
        </w:trPr>
        <w:tc>
          <w:tcPr>
            <w:tcW w:w="2260" w:type="dxa"/>
            <w:tcBorders>
              <w:top w:val="nil"/>
              <w:left w:val="single" w:sz="4" w:space="0" w:color="auto"/>
              <w:bottom w:val="single" w:sz="4" w:space="0" w:color="auto"/>
              <w:right w:val="single" w:sz="4" w:space="0" w:color="auto"/>
            </w:tcBorders>
            <w:shd w:val="clear" w:color="000000" w:fill="BDD7EE"/>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RUT</w:t>
            </w:r>
          </w:p>
        </w:tc>
        <w:tc>
          <w:tcPr>
            <w:tcW w:w="4780" w:type="dxa"/>
            <w:tcBorders>
              <w:top w:val="nil"/>
              <w:left w:val="nil"/>
              <w:bottom w:val="single" w:sz="4" w:space="0" w:color="auto"/>
              <w:right w:val="single" w:sz="4" w:space="0" w:color="auto"/>
            </w:tcBorders>
            <w:shd w:val="clear" w:color="auto" w:fill="auto"/>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61.216.000-7</w:t>
            </w:r>
          </w:p>
        </w:tc>
      </w:tr>
      <w:tr w:rsidR="00CF7502" w:rsidRPr="00E91CD7" w:rsidTr="00CF7502">
        <w:trPr>
          <w:trHeight w:val="300"/>
          <w:jc w:val="center"/>
        </w:trPr>
        <w:tc>
          <w:tcPr>
            <w:tcW w:w="2260" w:type="dxa"/>
            <w:tcBorders>
              <w:top w:val="nil"/>
              <w:left w:val="single" w:sz="4" w:space="0" w:color="auto"/>
              <w:bottom w:val="single" w:sz="4" w:space="0" w:color="auto"/>
              <w:right w:val="single" w:sz="4" w:space="0" w:color="auto"/>
            </w:tcBorders>
            <w:shd w:val="clear" w:color="000000" w:fill="BDD7EE"/>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EMAIL</w:t>
            </w:r>
          </w:p>
        </w:tc>
        <w:tc>
          <w:tcPr>
            <w:tcW w:w="4780" w:type="dxa"/>
            <w:tcBorders>
              <w:top w:val="nil"/>
              <w:left w:val="nil"/>
              <w:bottom w:val="single" w:sz="4" w:space="0" w:color="auto"/>
              <w:right w:val="single" w:sz="4" w:space="0" w:color="auto"/>
            </w:tcBorders>
            <w:shd w:val="clear" w:color="auto" w:fill="auto"/>
            <w:noWrap/>
            <w:vAlign w:val="bottom"/>
            <w:hideMark/>
          </w:tcPr>
          <w:p w:rsidR="00CF7502" w:rsidRPr="00E91CD7" w:rsidRDefault="00CF7502" w:rsidP="00CF7502">
            <w:pPr>
              <w:rPr>
                <w:rFonts w:ascii="Calibri" w:hAnsi="Calibri" w:cs="Calibri"/>
                <w:color w:val="000000"/>
                <w:sz w:val="20"/>
                <w:szCs w:val="22"/>
                <w:lang w:val="es-CL" w:eastAsia="es-CL"/>
              </w:rPr>
            </w:pPr>
            <w:r w:rsidRPr="00E91CD7">
              <w:rPr>
                <w:rFonts w:ascii="Calibri" w:hAnsi="Calibri" w:cs="Calibri"/>
                <w:color w:val="000000"/>
                <w:sz w:val="20"/>
                <w:szCs w:val="22"/>
                <w:lang w:val="es-CL" w:eastAsia="es-CL"/>
              </w:rPr>
              <w:t>desarrollonegocios@efe.cl / centro.pagos@efe.cl</w:t>
            </w:r>
          </w:p>
        </w:tc>
      </w:tr>
    </w:tbl>
    <w:p w:rsidR="00AB6579" w:rsidRDefault="00AB6579" w:rsidP="008A2420">
      <w:pPr>
        <w:pStyle w:val="Ttulo1"/>
        <w:spacing w:before="120" w:beforeAutospacing="0" w:after="120" w:afterAutospacing="0"/>
        <w:jc w:val="both"/>
        <w:rPr>
          <w:rFonts w:ascii="Arial" w:hAnsi="Arial" w:cs="Arial"/>
          <w:color w:val="000000"/>
          <w:kern w:val="0"/>
          <w:sz w:val="20"/>
          <w:szCs w:val="22"/>
        </w:rPr>
      </w:pPr>
      <w:bookmarkStart w:id="4" w:name="_Toc322523258"/>
      <w:bookmarkStart w:id="5" w:name="_Ref338754155"/>
      <w:bookmarkStart w:id="6" w:name="_Ref347927002"/>
      <w:bookmarkStart w:id="7" w:name="_Ref347928847"/>
      <w:bookmarkStart w:id="8" w:name="_Toc418844084"/>
      <w:bookmarkStart w:id="9" w:name="_Toc421270300"/>
      <w:bookmarkStart w:id="10" w:name="_Toc69463650"/>
      <w:bookmarkEnd w:id="0"/>
      <w:bookmarkEnd w:id="1"/>
      <w:bookmarkEnd w:id="2"/>
      <w:bookmarkEnd w:id="3"/>
    </w:p>
    <w:p w:rsidR="003B7246" w:rsidRPr="00E91CD7" w:rsidRDefault="003B7246" w:rsidP="008A2420">
      <w:pPr>
        <w:pStyle w:val="Ttulo1"/>
        <w:spacing w:before="120" w:beforeAutospacing="0" w:after="120" w:afterAutospacing="0"/>
        <w:jc w:val="both"/>
        <w:rPr>
          <w:rFonts w:ascii="Arial" w:hAnsi="Arial" w:cs="Arial"/>
          <w:color w:val="000000"/>
          <w:kern w:val="0"/>
          <w:sz w:val="20"/>
          <w:szCs w:val="22"/>
        </w:rPr>
      </w:pPr>
      <w:r w:rsidRPr="00E91CD7">
        <w:rPr>
          <w:rFonts w:ascii="Arial" w:hAnsi="Arial" w:cs="Arial"/>
          <w:color w:val="000000"/>
          <w:kern w:val="0"/>
          <w:sz w:val="20"/>
          <w:szCs w:val="22"/>
        </w:rPr>
        <w:t>REQUISITOS PARA PARTICIPAR EN LA LICITACIÓN</w:t>
      </w:r>
      <w:bookmarkEnd w:id="4"/>
      <w:bookmarkEnd w:id="5"/>
      <w:bookmarkEnd w:id="6"/>
      <w:bookmarkEnd w:id="7"/>
      <w:bookmarkEnd w:id="8"/>
      <w:bookmarkEnd w:id="9"/>
      <w:bookmarkEnd w:id="10"/>
    </w:p>
    <w:p w:rsidR="00286979" w:rsidRPr="00286979" w:rsidRDefault="00286979" w:rsidP="00286979">
      <w:pPr>
        <w:ind w:right="51"/>
        <w:jc w:val="both"/>
        <w:rPr>
          <w:rFonts w:ascii="Arial" w:hAnsi="Arial" w:cs="Arial"/>
          <w:sz w:val="20"/>
          <w:szCs w:val="22"/>
          <w:lang w:val="es-CL"/>
        </w:rPr>
      </w:pPr>
      <w:r w:rsidRPr="00286979">
        <w:rPr>
          <w:rFonts w:ascii="Arial" w:hAnsi="Arial" w:cs="Arial"/>
          <w:sz w:val="20"/>
          <w:szCs w:val="22"/>
          <w:lang w:val="es-CL"/>
        </w:rPr>
        <w:t xml:space="preserve">Podrán presentar ofertas en la presente Licitación todos los interesados que hayan adquirido las Bases, y cumplan con los siguientes requisitos: (i) Si se trata de interesados personas jurídicas del rubro </w:t>
      </w:r>
      <w:proofErr w:type="spellStart"/>
      <w:r w:rsidRPr="00286979">
        <w:rPr>
          <w:rFonts w:ascii="Arial" w:hAnsi="Arial" w:cs="Arial"/>
          <w:sz w:val="20"/>
          <w:szCs w:val="22"/>
          <w:lang w:val="es-CL"/>
        </w:rPr>
        <w:t>retail</w:t>
      </w:r>
      <w:proofErr w:type="spellEnd"/>
      <w:r w:rsidRPr="00286979">
        <w:rPr>
          <w:rFonts w:ascii="Arial" w:hAnsi="Arial" w:cs="Arial"/>
          <w:sz w:val="20"/>
          <w:szCs w:val="22"/>
          <w:lang w:val="es-CL"/>
        </w:rPr>
        <w:t xml:space="preserve"> podrán participar sólo aquellas sociedades o empresas que tengan ventas promedio de los últimos 5 años iguales o superiores a USD $ 10 millones; (ii) Si se trata de interesados personas jurídicas del rubro renta residencial (</w:t>
      </w:r>
      <w:proofErr w:type="spellStart"/>
      <w:r w:rsidRPr="00286979">
        <w:rPr>
          <w:rFonts w:ascii="Arial" w:hAnsi="Arial" w:cs="Arial"/>
          <w:sz w:val="20"/>
          <w:szCs w:val="22"/>
          <w:lang w:val="es-CL"/>
        </w:rPr>
        <w:t>Multifamily</w:t>
      </w:r>
      <w:proofErr w:type="spellEnd"/>
      <w:r w:rsidRPr="00286979">
        <w:rPr>
          <w:rFonts w:ascii="Arial" w:hAnsi="Arial" w:cs="Arial"/>
          <w:sz w:val="20"/>
          <w:szCs w:val="22"/>
          <w:lang w:val="es-CL"/>
        </w:rPr>
        <w:t xml:space="preserve">) podrán participar sólo aquellas empresas de </w:t>
      </w:r>
      <w:proofErr w:type="spellStart"/>
      <w:r w:rsidRPr="00286979">
        <w:rPr>
          <w:rFonts w:ascii="Arial" w:hAnsi="Arial" w:cs="Arial"/>
          <w:sz w:val="20"/>
          <w:szCs w:val="22"/>
          <w:lang w:val="es-CL"/>
        </w:rPr>
        <w:t>Multifamily</w:t>
      </w:r>
      <w:proofErr w:type="spellEnd"/>
      <w:r w:rsidRPr="00286979">
        <w:rPr>
          <w:rFonts w:ascii="Arial" w:hAnsi="Arial" w:cs="Arial"/>
          <w:sz w:val="20"/>
          <w:szCs w:val="22"/>
          <w:lang w:val="es-CL"/>
        </w:rPr>
        <w:t xml:space="preserve"> que administren activos que contengan al menos 180 unidades de vivienda; y (iii) Si se trata de interesados personas jurídicas del rubro inmobiliario o empresas inmobiliarias, solo podrán participar aquellas sociedades inmobiliarias que hayan iniciado el desarrollo de proyectos habitacionales con un promedio de 1 proyecto en los últimos 4 años. </w:t>
      </w:r>
    </w:p>
    <w:p w:rsidR="00AB6579" w:rsidRDefault="00286979" w:rsidP="003B7246">
      <w:pPr>
        <w:spacing w:before="120" w:after="120"/>
        <w:jc w:val="both"/>
        <w:rPr>
          <w:rFonts w:ascii="Arial" w:hAnsi="Arial" w:cs="Arial"/>
          <w:sz w:val="20"/>
          <w:szCs w:val="22"/>
          <w:lang w:val="es-CL"/>
        </w:rPr>
      </w:pPr>
      <w:r>
        <w:rPr>
          <w:rFonts w:ascii="Arial" w:hAnsi="Arial" w:cs="Arial"/>
          <w:sz w:val="20"/>
          <w:szCs w:val="22"/>
          <w:lang w:val="es-CL"/>
        </w:rPr>
        <w:t>Complementariamente, p</w:t>
      </w:r>
      <w:r w:rsidR="003B7246" w:rsidRPr="00E91CD7">
        <w:rPr>
          <w:rFonts w:ascii="Arial" w:hAnsi="Arial" w:cs="Arial"/>
          <w:sz w:val="20"/>
          <w:szCs w:val="22"/>
          <w:lang w:val="es-CL"/>
        </w:rPr>
        <w:t>odrán participar en la presente licitación, las personas naturales o jurídicas, nacionales y/o extranjeras, que acrediten su situación legal,</w:t>
      </w:r>
      <w:r w:rsidR="00AB6579">
        <w:rPr>
          <w:rFonts w:ascii="Arial" w:hAnsi="Arial" w:cs="Arial"/>
          <w:sz w:val="20"/>
          <w:szCs w:val="22"/>
          <w:lang w:val="es-CL"/>
        </w:rPr>
        <w:t xml:space="preserve"> financiera e idoneidad técnica.</w:t>
      </w:r>
    </w:p>
    <w:p w:rsidR="003B7246" w:rsidRPr="00E91CD7" w:rsidRDefault="003B7246" w:rsidP="003B7246">
      <w:pPr>
        <w:spacing w:before="120" w:after="120"/>
        <w:jc w:val="both"/>
        <w:rPr>
          <w:rFonts w:ascii="Arial" w:hAnsi="Arial" w:cs="Arial"/>
          <w:sz w:val="20"/>
          <w:szCs w:val="22"/>
          <w:lang w:val="es-CL"/>
        </w:rPr>
      </w:pPr>
      <w:r w:rsidRPr="00E91CD7">
        <w:rPr>
          <w:rFonts w:ascii="Arial" w:hAnsi="Arial" w:cs="Arial"/>
          <w:sz w:val="20"/>
          <w:szCs w:val="22"/>
          <w:lang w:val="es-CL"/>
        </w:rPr>
        <w:t>En la presente licitación no podrán participar como Proponentes, sociedades que no estén legalmente constituidas al momento de la presentación de las ofertas, por lo que no podrán participar las sociedades en formación.</w:t>
      </w:r>
    </w:p>
    <w:p w:rsidR="003B7246" w:rsidRPr="00E91CD7" w:rsidRDefault="003B7246" w:rsidP="003B7246">
      <w:pPr>
        <w:spacing w:before="120" w:after="120"/>
        <w:jc w:val="both"/>
        <w:rPr>
          <w:rFonts w:ascii="Arial" w:hAnsi="Arial" w:cs="Arial"/>
          <w:sz w:val="20"/>
          <w:szCs w:val="22"/>
          <w:lang w:val="es-CL"/>
        </w:rPr>
      </w:pPr>
      <w:r w:rsidRPr="00E91CD7">
        <w:rPr>
          <w:rFonts w:ascii="Arial" w:hAnsi="Arial" w:cs="Arial"/>
          <w:sz w:val="20"/>
          <w:szCs w:val="22"/>
          <w:lang w:val="es-CL"/>
        </w:rPr>
        <w:t xml:space="preserve">Además, no podrán participar como proponentes personas naturales que no puedan acreditar experiencia en proyectos de similares características y solvencia financiera. </w:t>
      </w:r>
    </w:p>
    <w:p w:rsidR="003B7246" w:rsidRDefault="003B7246" w:rsidP="003B7246">
      <w:pPr>
        <w:spacing w:before="120" w:after="120"/>
        <w:jc w:val="both"/>
        <w:rPr>
          <w:rFonts w:ascii="Arial" w:hAnsi="Arial" w:cs="Arial"/>
          <w:sz w:val="20"/>
          <w:szCs w:val="22"/>
        </w:rPr>
      </w:pPr>
      <w:r w:rsidRPr="00E91CD7">
        <w:rPr>
          <w:rFonts w:ascii="Arial" w:hAnsi="Arial" w:cs="Arial"/>
          <w:sz w:val="20"/>
          <w:szCs w:val="22"/>
        </w:rPr>
        <w:t>No podrán participar en esta licitación, las empresas o personas naturales que se hayan coludido, en los términos que señala el artículo 3º, letra a), del D.L. 211, Ley de Defensa de la Libre Competencia. Se entenderá que una empresa está o ha estado coludida, si: i) ha solicitado acogerse a los beneficios que establece el artículo 39 Bis del D.L. 211; y, ii) ha sido condenada, por sentencia firme, por el ilícito establecido en el artículo 3º, letra a), del D.L. 211.</w:t>
      </w:r>
    </w:p>
    <w:p w:rsidR="000C0068" w:rsidRPr="00E91CD7" w:rsidRDefault="000C0068" w:rsidP="003B7246">
      <w:pPr>
        <w:spacing w:before="120" w:after="120"/>
        <w:jc w:val="both"/>
        <w:rPr>
          <w:rFonts w:ascii="Arial" w:hAnsi="Arial" w:cs="Arial"/>
          <w:sz w:val="20"/>
          <w:szCs w:val="22"/>
        </w:rPr>
      </w:pPr>
    </w:p>
    <w:p w:rsidR="003B7246" w:rsidRPr="00E91CD7" w:rsidRDefault="003B7246" w:rsidP="008A2420">
      <w:pPr>
        <w:pStyle w:val="Ttulo1"/>
        <w:spacing w:before="120" w:beforeAutospacing="0" w:after="120" w:afterAutospacing="0"/>
        <w:jc w:val="both"/>
        <w:rPr>
          <w:rFonts w:ascii="Arial" w:hAnsi="Arial" w:cs="Arial"/>
          <w:b w:val="0"/>
          <w:sz w:val="44"/>
          <w:lang w:val="es-CL"/>
        </w:rPr>
      </w:pPr>
      <w:bookmarkStart w:id="11" w:name="_Toc69463662"/>
      <w:r w:rsidRPr="00E91CD7">
        <w:rPr>
          <w:rFonts w:ascii="Arial" w:hAnsi="Arial" w:cs="Arial"/>
          <w:color w:val="000000"/>
          <w:kern w:val="0"/>
          <w:sz w:val="20"/>
          <w:szCs w:val="22"/>
        </w:rPr>
        <w:t>BOLETA DE GARANTÍA DE SERIEDAD DE LA OFERTA</w:t>
      </w:r>
      <w:bookmarkEnd w:id="11"/>
    </w:p>
    <w:p w:rsidR="003B7246" w:rsidRPr="00E91CD7" w:rsidRDefault="003B7246" w:rsidP="003B7246">
      <w:pPr>
        <w:spacing w:before="120" w:after="120"/>
        <w:jc w:val="both"/>
        <w:rPr>
          <w:rFonts w:ascii="Arial" w:hAnsi="Arial" w:cs="Arial"/>
          <w:sz w:val="20"/>
          <w:lang w:val="es-CL"/>
        </w:rPr>
      </w:pPr>
      <w:r w:rsidRPr="00E91CD7">
        <w:rPr>
          <w:rFonts w:ascii="Arial" w:hAnsi="Arial" w:cs="Arial"/>
          <w:sz w:val="20"/>
          <w:szCs w:val="22"/>
        </w:rPr>
        <w:t>Los Proponentes deberán entregar una o más Boletas de Garantía Bancaria de Seriedad de la Oferta, incondicionales e irrevocables, extendidas a nombre de “</w:t>
      </w:r>
      <w:r w:rsidRPr="00E91CD7">
        <w:rPr>
          <w:rFonts w:ascii="Arial" w:hAnsi="Arial" w:cs="Arial"/>
          <w:i/>
          <w:iCs/>
          <w:sz w:val="20"/>
          <w:szCs w:val="22"/>
        </w:rPr>
        <w:t>Empresa de los Ferrocarriles del Estado</w:t>
      </w:r>
      <w:r w:rsidRPr="00E91CD7">
        <w:rPr>
          <w:rFonts w:ascii="Arial" w:hAnsi="Arial" w:cs="Arial"/>
          <w:sz w:val="20"/>
          <w:szCs w:val="22"/>
        </w:rPr>
        <w:t xml:space="preserve">”, RUT: 61.216.000-7 emitida por un Banco chileno o Banco extranjero con oficinas en el país, cobrable y pagadera a la vista, a su sola presentación, en Santiago de Chile indicando el plazo de vigencia estipulado. </w:t>
      </w:r>
    </w:p>
    <w:p w:rsidR="003B7246" w:rsidRPr="00E91CD7" w:rsidRDefault="003B7246" w:rsidP="003B7246">
      <w:pPr>
        <w:spacing w:before="120" w:after="120"/>
        <w:jc w:val="both"/>
        <w:rPr>
          <w:rFonts w:ascii="Arial" w:hAnsi="Arial" w:cs="Arial"/>
          <w:sz w:val="20"/>
          <w:lang w:val="es-CL"/>
        </w:rPr>
      </w:pPr>
      <w:r w:rsidRPr="00E91CD7">
        <w:rPr>
          <w:rFonts w:ascii="Arial" w:hAnsi="Arial" w:cs="Arial"/>
          <w:sz w:val="20"/>
          <w:lang w:val="es-CL"/>
        </w:rPr>
        <w:t xml:space="preserve">El monto del(los) documento(s) de Garantía de Seriedad de la Oferta deberá(n) totalizar </w:t>
      </w:r>
      <w:r w:rsidRPr="00642C15">
        <w:rPr>
          <w:rFonts w:ascii="Arial" w:hAnsi="Arial" w:cs="Arial"/>
          <w:sz w:val="20"/>
          <w:lang w:val="es-CL"/>
        </w:rPr>
        <w:t xml:space="preserve">UF </w:t>
      </w:r>
      <w:r w:rsidRPr="00642C15">
        <w:rPr>
          <w:rFonts w:ascii="Arial" w:hAnsi="Arial" w:cs="Arial"/>
          <w:b/>
          <w:sz w:val="20"/>
          <w:lang w:val="es-CL"/>
        </w:rPr>
        <w:t>500</w:t>
      </w:r>
      <w:r w:rsidRPr="00E91CD7">
        <w:rPr>
          <w:rFonts w:ascii="Arial" w:hAnsi="Arial" w:cs="Arial"/>
          <w:b/>
          <w:sz w:val="20"/>
          <w:lang w:val="es-CL"/>
        </w:rPr>
        <w:t xml:space="preserve"> (quinientas Unidades de Fomento)</w:t>
      </w:r>
      <w:r w:rsidRPr="00E91CD7">
        <w:rPr>
          <w:rFonts w:ascii="Arial" w:hAnsi="Arial" w:cs="Arial"/>
          <w:sz w:val="20"/>
          <w:lang w:val="es-CL"/>
        </w:rPr>
        <w:t>, con un plazo de vigencia de 180 (ciento ochenta) días corridos, a partir de la fecha de Recepción de las Ofertas, establecida en</w:t>
      </w:r>
      <w:bookmarkStart w:id="12" w:name="_GoBack"/>
      <w:bookmarkEnd w:id="12"/>
      <w:r w:rsidRPr="00E91CD7">
        <w:rPr>
          <w:rFonts w:ascii="Arial" w:hAnsi="Arial" w:cs="Arial"/>
          <w:sz w:val="20"/>
          <w:lang w:val="es-CL"/>
        </w:rPr>
        <w:t xml:space="preserve"> el Cronograma de Licitación.</w:t>
      </w:r>
    </w:p>
    <w:sectPr w:rsidR="003B7246" w:rsidRPr="00E91CD7" w:rsidSect="002E6A8C">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62" w:rsidRDefault="001A0C62" w:rsidP="002E6A8C">
      <w:r>
        <w:separator/>
      </w:r>
    </w:p>
  </w:endnote>
  <w:endnote w:type="continuationSeparator" w:id="0">
    <w:p w:rsidR="001A0C62" w:rsidRDefault="001A0C62" w:rsidP="002E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8C" w:rsidRDefault="002E6A8C">
    <w:pPr>
      <w:pStyle w:val="Piedepgina"/>
    </w:pPr>
    <w:r>
      <w:rPr>
        <w:noProof/>
        <w:lang w:val="es-CL" w:eastAsia="es-CL"/>
      </w:rPr>
      <w:drawing>
        <wp:anchor distT="0" distB="0" distL="114300" distR="114300" simplePos="0" relativeHeight="251659264" behindDoc="1" locked="0" layoutInCell="1" allowOverlap="1" wp14:anchorId="18376688" wp14:editId="206538FD">
          <wp:simplePos x="0" y="0"/>
          <wp:positionH relativeFrom="page">
            <wp:align>left</wp:align>
          </wp:positionH>
          <wp:positionV relativeFrom="paragraph">
            <wp:posOffset>-723900</wp:posOffset>
          </wp:positionV>
          <wp:extent cx="3248025" cy="1344930"/>
          <wp:effectExtent l="0" t="0" r="9525" b="0"/>
          <wp:wrapThrough wrapText="bothSides">
            <wp:wrapPolygon edited="0">
              <wp:start x="4561" y="1836"/>
              <wp:lineTo x="3294" y="7343"/>
              <wp:lineTo x="1520" y="12238"/>
              <wp:lineTo x="0" y="18357"/>
              <wp:lineTo x="0" y="19581"/>
              <wp:lineTo x="760" y="19581"/>
              <wp:lineTo x="2534" y="18969"/>
              <wp:lineTo x="3927" y="18051"/>
              <wp:lineTo x="3674" y="17133"/>
              <wp:lineTo x="21537" y="14380"/>
              <wp:lineTo x="21537" y="12544"/>
              <wp:lineTo x="18750" y="12238"/>
              <wp:lineTo x="19003" y="10708"/>
              <wp:lineTo x="15962" y="9790"/>
              <wp:lineTo x="4054" y="7343"/>
              <wp:lineTo x="5194" y="1836"/>
              <wp:lineTo x="4561" y="1836"/>
            </wp:wrapPolygon>
          </wp:wrapThrough>
          <wp:docPr id="3" name="Imagen 2" descr="C:\Users\c_jimenez\AppData\Local\Microsoft\Windows\Temporary Internet Files\Content.Word\pie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_jimenez\AppData\Local\Microsoft\Windows\Temporary Internet Files\Content.Word\piepa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344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62" w:rsidRDefault="001A0C62" w:rsidP="002E6A8C">
      <w:r>
        <w:separator/>
      </w:r>
    </w:p>
  </w:footnote>
  <w:footnote w:type="continuationSeparator" w:id="0">
    <w:p w:rsidR="001A0C62" w:rsidRDefault="001A0C62" w:rsidP="002E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8C" w:rsidRDefault="002E6A8C">
    <w:pPr>
      <w:pStyle w:val="Encabezado"/>
    </w:pPr>
    <w:r>
      <w:rPr>
        <w:noProof/>
        <w:lang w:val="es-CL" w:eastAsia="es-CL"/>
      </w:rPr>
      <w:drawing>
        <wp:anchor distT="0" distB="0" distL="114300" distR="114300" simplePos="0" relativeHeight="251661312" behindDoc="1" locked="0" layoutInCell="1" allowOverlap="1" wp14:anchorId="2E7BC042" wp14:editId="5C8B78A5">
          <wp:simplePos x="0" y="0"/>
          <wp:positionH relativeFrom="page">
            <wp:posOffset>5610225</wp:posOffset>
          </wp:positionH>
          <wp:positionV relativeFrom="paragraph">
            <wp:posOffset>-438785</wp:posOffset>
          </wp:positionV>
          <wp:extent cx="2162175" cy="825500"/>
          <wp:effectExtent l="0" t="0" r="0" b="0"/>
          <wp:wrapThrough wrapText="bothSides">
            <wp:wrapPolygon edited="0">
              <wp:start x="4948" y="997"/>
              <wp:lineTo x="761" y="17945"/>
              <wp:lineTo x="761" y="18942"/>
              <wp:lineTo x="1522" y="18942"/>
              <wp:lineTo x="10657" y="17945"/>
              <wp:lineTo x="20744" y="13957"/>
              <wp:lineTo x="20934" y="8972"/>
              <wp:lineTo x="17318" y="7477"/>
              <wp:lineTo x="5900" y="997"/>
              <wp:lineTo x="4948" y="997"/>
            </wp:wrapPolygon>
          </wp:wrapThrough>
          <wp:docPr id="1" name="Imagen 1" descr="C:\Users\c_jimenez\AppData\Local\Microsoft\Windows\Temporary Internet Files\Content.Word\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_jimenez\AppData\Local\Microsoft\Windows\Temporary Internet Files\Content.Word\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C5971"/>
    <w:multiLevelType w:val="hybridMultilevel"/>
    <w:tmpl w:val="F97006EC"/>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9702B18"/>
    <w:multiLevelType w:val="multilevel"/>
    <w:tmpl w:val="E2767280"/>
    <w:lvl w:ilvl="0">
      <w:start w:val="1"/>
      <w:numFmt w:val="decimal"/>
      <w:lvlText w:val="ARTÍCULO %1."/>
      <w:lvlJc w:val="left"/>
      <w:pPr>
        <w:ind w:left="927" w:hanging="360"/>
      </w:pPr>
      <w:rPr>
        <w:rFonts w:hint="default"/>
        <w:b/>
        <w:sz w:val="22"/>
        <w:szCs w:val="22"/>
        <w:lang w:val="es-CL"/>
      </w:rPr>
    </w:lvl>
    <w:lvl w:ilvl="1">
      <w:start w:val="1"/>
      <w:numFmt w:val="decimal"/>
      <w:lvlText w:val="%1.%2."/>
      <w:lvlJc w:val="left"/>
      <w:pPr>
        <w:ind w:left="432" w:hanging="432"/>
      </w:pPr>
      <w:rPr>
        <w:rFonts w:ascii="Arial" w:hAnsi="Arial" w:cs="Arial"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95B577C"/>
    <w:multiLevelType w:val="hybridMultilevel"/>
    <w:tmpl w:val="D272D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E9"/>
    <w:rsid w:val="0000585C"/>
    <w:rsid w:val="000C0068"/>
    <w:rsid w:val="00150CAE"/>
    <w:rsid w:val="001A0C62"/>
    <w:rsid w:val="001B2DD5"/>
    <w:rsid w:val="001C6496"/>
    <w:rsid w:val="001D3B6B"/>
    <w:rsid w:val="001E569A"/>
    <w:rsid w:val="00286979"/>
    <w:rsid w:val="002E6A8C"/>
    <w:rsid w:val="00346896"/>
    <w:rsid w:val="003A1C6B"/>
    <w:rsid w:val="003B7246"/>
    <w:rsid w:val="004D349F"/>
    <w:rsid w:val="00596709"/>
    <w:rsid w:val="00596A35"/>
    <w:rsid w:val="005D1C9E"/>
    <w:rsid w:val="005E2D20"/>
    <w:rsid w:val="00642C15"/>
    <w:rsid w:val="007F35E5"/>
    <w:rsid w:val="008166B2"/>
    <w:rsid w:val="00874865"/>
    <w:rsid w:val="008A2420"/>
    <w:rsid w:val="008C2D4B"/>
    <w:rsid w:val="009176E0"/>
    <w:rsid w:val="009F3852"/>
    <w:rsid w:val="00A901E0"/>
    <w:rsid w:val="00AB6579"/>
    <w:rsid w:val="00BA0E3D"/>
    <w:rsid w:val="00BB60EA"/>
    <w:rsid w:val="00C957DB"/>
    <w:rsid w:val="00CF7502"/>
    <w:rsid w:val="00D152E5"/>
    <w:rsid w:val="00D353F0"/>
    <w:rsid w:val="00DC27E9"/>
    <w:rsid w:val="00E91CD7"/>
    <w:rsid w:val="00FA2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80FB-A048-44D5-8557-76F4B98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4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itulo apartado manual,h1,. (1.0),TOC1,CaptionXL,TallChaptHead,1.,H1,§1.,- 1st Order Heading,Capítulo,título 1,H1&lt;------------------,proj,proj1,proj5,proj6,proj7,proj8,proj9,proj10,proj11,proj12,proj13,proj14,proj15,proj51,proj61"/>
    <w:basedOn w:val="Normal"/>
    <w:link w:val="Ttulo1Car"/>
    <w:uiPriority w:val="99"/>
    <w:qFormat/>
    <w:rsid w:val="001C6496"/>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rp de texte,Párrafo de lista1,Viñeta A Alquim,Viñeta A,Párrafo,Viñetas"/>
    <w:basedOn w:val="Normal"/>
    <w:link w:val="PrrafodelistaCar"/>
    <w:uiPriority w:val="34"/>
    <w:qFormat/>
    <w:rsid w:val="00DC27E9"/>
    <w:pPr>
      <w:ind w:left="720"/>
      <w:contextualSpacing/>
    </w:pPr>
  </w:style>
  <w:style w:type="character" w:customStyle="1" w:styleId="Ttulo1Car">
    <w:name w:val="Título 1 Car"/>
    <w:aliases w:val="titulo 1 Car,titulo apartado manual Car,h1 Car,. (1.0) Car,TOC1 Car,CaptionXL Car,TallChaptHead Car,1. Car,H1 Car,§1. Car,- 1st Order Heading Car,Capítulo Car,título 1 Car,H1&lt;------------------ Car,proj Car,proj1 Car,proj5 Car,proj6 Car"/>
    <w:basedOn w:val="Fuentedeprrafopredeter"/>
    <w:link w:val="Ttulo1"/>
    <w:uiPriority w:val="99"/>
    <w:rsid w:val="001C649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rsid w:val="001C6496"/>
    <w:pPr>
      <w:spacing w:before="100" w:beforeAutospacing="1" w:after="100" w:afterAutospacing="1"/>
    </w:pPr>
  </w:style>
  <w:style w:type="paragraph" w:styleId="Puesto">
    <w:name w:val="Title"/>
    <w:basedOn w:val="Normal"/>
    <w:link w:val="PuestoCar"/>
    <w:qFormat/>
    <w:rsid w:val="001C6496"/>
    <w:pPr>
      <w:jc w:val="center"/>
    </w:pPr>
    <w:rPr>
      <w:b/>
      <w:color w:val="000000"/>
      <w:sz w:val="32"/>
      <w:szCs w:val="20"/>
      <w:u w:val="single"/>
    </w:rPr>
  </w:style>
  <w:style w:type="character" w:customStyle="1" w:styleId="PuestoCar">
    <w:name w:val="Puesto Car"/>
    <w:basedOn w:val="Fuentedeprrafopredeter"/>
    <w:link w:val="Puesto"/>
    <w:rsid w:val="001C6496"/>
    <w:rPr>
      <w:rFonts w:ascii="Times New Roman" w:eastAsia="Times New Roman" w:hAnsi="Times New Roman" w:cs="Times New Roman"/>
      <w:b/>
      <w:color w:val="000000"/>
      <w:sz w:val="32"/>
      <w:szCs w:val="20"/>
      <w:u w:val="single"/>
      <w:lang w:val="es-ES" w:eastAsia="es-ES"/>
    </w:rPr>
  </w:style>
  <w:style w:type="character" w:customStyle="1" w:styleId="PrrafodelistaCar">
    <w:name w:val="Párrafo de lista Car"/>
    <w:aliases w:val="corp de texte Car,Párrafo de lista1 Car,Viñeta A Alquim Car,Viñeta A Car,Párrafo Car,Viñetas Car"/>
    <w:link w:val="Prrafodelista"/>
    <w:uiPriority w:val="34"/>
    <w:rsid w:val="003B7246"/>
    <w:rPr>
      <w:rFonts w:ascii="Times New Roman" w:eastAsia="Times New Roman" w:hAnsi="Times New Roman" w:cs="Times New Roman"/>
      <w:sz w:val="24"/>
      <w:szCs w:val="24"/>
      <w:lang w:val="es-ES" w:eastAsia="es-ES"/>
    </w:rPr>
  </w:style>
  <w:style w:type="paragraph" w:customStyle="1" w:styleId="Default">
    <w:name w:val="Default"/>
    <w:rsid w:val="00BA0E3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uiPriority w:val="99"/>
    <w:rsid w:val="00596709"/>
    <w:rPr>
      <w:sz w:val="16"/>
      <w:szCs w:val="16"/>
    </w:rPr>
  </w:style>
  <w:style w:type="paragraph" w:styleId="Textocomentario">
    <w:name w:val="annotation text"/>
    <w:basedOn w:val="Normal"/>
    <w:link w:val="TextocomentarioCar"/>
    <w:uiPriority w:val="99"/>
    <w:rsid w:val="00596709"/>
    <w:rPr>
      <w:sz w:val="20"/>
      <w:szCs w:val="20"/>
    </w:rPr>
  </w:style>
  <w:style w:type="character" w:customStyle="1" w:styleId="TextocomentarioCar">
    <w:name w:val="Texto comentario Car"/>
    <w:basedOn w:val="Fuentedeprrafopredeter"/>
    <w:link w:val="Textocomentario"/>
    <w:uiPriority w:val="99"/>
    <w:rsid w:val="0059670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967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709"/>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1E569A"/>
    <w:rPr>
      <w:color w:val="0563C1" w:themeColor="hyperlink"/>
      <w:u w:val="single"/>
    </w:rPr>
  </w:style>
  <w:style w:type="paragraph" w:styleId="Encabezado">
    <w:name w:val="header"/>
    <w:basedOn w:val="Normal"/>
    <w:link w:val="EncabezadoCar"/>
    <w:uiPriority w:val="99"/>
    <w:unhideWhenUsed/>
    <w:rsid w:val="002E6A8C"/>
    <w:pPr>
      <w:tabs>
        <w:tab w:val="center" w:pos="4419"/>
        <w:tab w:val="right" w:pos="8838"/>
      </w:tabs>
    </w:pPr>
  </w:style>
  <w:style w:type="character" w:customStyle="1" w:styleId="EncabezadoCar">
    <w:name w:val="Encabezado Car"/>
    <w:basedOn w:val="Fuentedeprrafopredeter"/>
    <w:link w:val="Encabezado"/>
    <w:uiPriority w:val="99"/>
    <w:rsid w:val="002E6A8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6A8C"/>
    <w:pPr>
      <w:tabs>
        <w:tab w:val="center" w:pos="4419"/>
        <w:tab w:val="right" w:pos="8838"/>
      </w:tabs>
    </w:pPr>
  </w:style>
  <w:style w:type="character" w:customStyle="1" w:styleId="PiedepginaCar">
    <w:name w:val="Pie de página Car"/>
    <w:basedOn w:val="Fuentedeprrafopredeter"/>
    <w:link w:val="Piedepgina"/>
    <w:uiPriority w:val="99"/>
    <w:rsid w:val="002E6A8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13">
      <w:bodyDiv w:val="1"/>
      <w:marLeft w:val="0"/>
      <w:marRight w:val="0"/>
      <w:marTop w:val="0"/>
      <w:marBottom w:val="0"/>
      <w:divBdr>
        <w:top w:val="none" w:sz="0" w:space="0" w:color="auto"/>
        <w:left w:val="none" w:sz="0" w:space="0" w:color="auto"/>
        <w:bottom w:val="none" w:sz="0" w:space="0" w:color="auto"/>
        <w:right w:val="none" w:sz="0" w:space="0" w:color="auto"/>
      </w:divBdr>
    </w:div>
    <w:div w:id="9508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arrollonegocios@efe.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ntro.pagos@efe.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Florencia Silva Parentelli</dc:creator>
  <cp:keywords/>
  <dc:description/>
  <cp:lastModifiedBy>Patricio Andrés Acuña Osorio</cp:lastModifiedBy>
  <cp:revision>13</cp:revision>
  <cp:lastPrinted>2021-04-21T18:13:00Z</cp:lastPrinted>
  <dcterms:created xsi:type="dcterms:W3CDTF">2021-05-10T17:48:00Z</dcterms:created>
  <dcterms:modified xsi:type="dcterms:W3CDTF">2021-05-11T15:57:00Z</dcterms:modified>
</cp:coreProperties>
</file>